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5A567C" w:rsidRPr="005A567C">
        <w:rPr>
          <w:rFonts w:ascii="Arial" w:hAnsi="Arial" w:cs="Arial"/>
          <w:b/>
          <w:sz w:val="20"/>
          <w:szCs w:val="20"/>
        </w:rPr>
        <w:t>Sacramento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bookmarkStart w:id="1" w:name="_GoBack"/>
                      <w:bookmarkEnd w:id="1"/>
                    </w:p>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639EB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5E04D9"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r w:rsidR="003C6C37" w:rsidRPr="00CA3ADD">
        <w:rPr>
          <w:rFonts w:ascii="Arial" w:hAnsi="Arial" w:cs="Arial"/>
          <w:sz w:val="24"/>
          <w:szCs w:val="24"/>
        </w:rPr>
        <w:t xml:space="preserve">All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r w:rsidRPr="00CA3ADD">
        <w:rPr>
          <w:rFonts w:ascii="Arial" w:hAnsi="Arial" w:cs="Arial"/>
          <w:sz w:val="24"/>
          <w:szCs w:val="24"/>
        </w:rPr>
        <w:t xml:space="preserve">All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following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r w:rsidR="00164026" w:rsidRPr="00CA3ADD">
        <w:rPr>
          <w:rFonts w:ascii="Arial" w:hAnsi="Arial" w:cs="Arial"/>
          <w:sz w:val="24"/>
          <w:szCs w:val="24"/>
        </w:rPr>
        <w:t xml:space="preserve">All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182CF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E1D28B" id="_x0000_t202" coordsize="21600,21600" o:spt="202" path="m,l,21600r21600,l21600,xe">
                <v:stroke joinstyle="miter"/>
                <v:path gradientshapeok="t" o:connecttype="rect"/>
              </v:shapetype>
              <v:shape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Measures To Prevent Crowds From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B7FFFB"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12873F"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860938" w:rsidRPr="00CA3ADD">
        <w:rPr>
          <w:rFonts w:ascii="Arial" w:hAnsi="Arial" w:cs="Arial"/>
          <w:sz w:val="24"/>
          <w:szCs w:val="24"/>
        </w:rPr>
        <w:t>Requiring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Sanitizing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6F27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asures To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C" w:rsidRDefault="003020EC" w:rsidP="009E3928">
      <w:pPr>
        <w:spacing w:after="0" w:line="240" w:lineRule="auto"/>
      </w:pPr>
      <w:r>
        <w:separator/>
      </w:r>
    </w:p>
  </w:endnote>
  <w:endnote w:type="continuationSeparator" w:id="0">
    <w:p w:rsidR="003020EC" w:rsidRDefault="003020E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23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236F">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C" w:rsidRDefault="003020EC" w:rsidP="009E3928">
      <w:pPr>
        <w:spacing w:after="0" w:line="240" w:lineRule="auto"/>
      </w:pPr>
      <w:r>
        <w:separator/>
      </w:r>
    </w:p>
  </w:footnote>
  <w:footnote w:type="continuationSeparator" w:id="0">
    <w:p w:rsidR="003020EC" w:rsidRDefault="003020EC" w:rsidP="009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364C2"/>
    <w:rsid w:val="002F2A08"/>
    <w:rsid w:val="002F70FF"/>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D6664"/>
    <w:rsid w:val="00900189"/>
    <w:rsid w:val="009903C0"/>
    <w:rsid w:val="009E3928"/>
    <w:rsid w:val="00A9709E"/>
    <w:rsid w:val="00AF1D2D"/>
    <w:rsid w:val="00B45287"/>
    <w:rsid w:val="00B6236F"/>
    <w:rsid w:val="00BB6D30"/>
    <w:rsid w:val="00C83090"/>
    <w:rsid w:val="00CA3ADD"/>
    <w:rsid w:val="00CD4B98"/>
    <w:rsid w:val="00CF2660"/>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Rae W</cp:lastModifiedBy>
  <cp:revision>2</cp:revision>
  <cp:lastPrinted>2020-05-21T14:42:00Z</cp:lastPrinted>
  <dcterms:created xsi:type="dcterms:W3CDTF">2020-06-15T19:44:00Z</dcterms:created>
  <dcterms:modified xsi:type="dcterms:W3CDTF">2020-06-15T19:44:00Z</dcterms:modified>
</cp:coreProperties>
</file>